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90" w:rsidRDefault="00BD1B89">
      <w:pPr>
        <w:snapToGrid w:val="0"/>
        <w:spacing w:line="5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河南中联重科智能农机有限责任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公司</w:t>
      </w:r>
    </w:p>
    <w:p w:rsidR="00514A90" w:rsidRDefault="00BD1B89">
      <w:pPr>
        <w:snapToGrid w:val="0"/>
        <w:spacing w:line="5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清洁生产审核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信息公示</w:t>
      </w:r>
    </w:p>
    <w:p w:rsidR="00514A90" w:rsidRDefault="00514A90">
      <w:pPr>
        <w:snapToGrid w:val="0"/>
        <w:spacing w:line="312" w:lineRule="auto"/>
        <w:ind w:firstLineChars="0" w:firstLine="0"/>
        <w:jc w:val="center"/>
        <w:rPr>
          <w:rFonts w:hAnsi="宋体"/>
          <w:b/>
          <w:sz w:val="32"/>
          <w:szCs w:val="32"/>
        </w:rPr>
      </w:pPr>
    </w:p>
    <w:p w:rsidR="00514A90" w:rsidRDefault="00BD1B89">
      <w:pPr>
        <w:tabs>
          <w:tab w:val="left" w:pos="5520"/>
        </w:tabs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</w:t>
      </w:r>
      <w:r>
        <w:rPr>
          <w:rFonts w:ascii="黑体" w:eastAsia="黑体" w:hAnsi="黑体" w:cs="黑体" w:hint="eastAsia"/>
        </w:rPr>
        <w:t>总则</w:t>
      </w:r>
    </w:p>
    <w:p w:rsidR="00514A90" w:rsidRDefault="00BD1B89">
      <w:pPr>
        <w:tabs>
          <w:tab w:val="left" w:pos="5520"/>
        </w:tabs>
        <w:ind w:firstLine="480"/>
      </w:pPr>
      <w:r>
        <w:t>为自觉履行保护环境的义务，主动接受社会监督，按照国家相关法规以及标准等要求，</w:t>
      </w:r>
      <w:r>
        <w:rPr>
          <w:rFonts w:hint="eastAsia"/>
        </w:rPr>
        <w:t>结合我</w:t>
      </w:r>
      <w:r>
        <w:t>公司</w:t>
      </w:r>
      <w:r>
        <w:rPr>
          <w:rFonts w:hint="eastAsia"/>
        </w:rPr>
        <w:t>2025</w:t>
      </w:r>
      <w:r>
        <w:rPr>
          <w:rFonts w:hint="eastAsia"/>
        </w:rPr>
        <w:t>年生产实际情况，制定清洁生产审核信息公示内容，请社会各界进行监督、指导</w:t>
      </w:r>
      <w:r>
        <w:t>。</w:t>
      </w:r>
    </w:p>
    <w:p w:rsidR="00514A90" w:rsidRDefault="00BD1B89">
      <w:pPr>
        <w:tabs>
          <w:tab w:val="left" w:pos="5520"/>
        </w:tabs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2.</w:t>
      </w:r>
      <w:r>
        <w:rPr>
          <w:rFonts w:ascii="黑体" w:eastAsia="黑体" w:hAnsi="黑体" w:cs="黑体" w:hint="eastAsia"/>
        </w:rPr>
        <w:t>依据</w:t>
      </w:r>
    </w:p>
    <w:p w:rsidR="00514A90" w:rsidRDefault="00BD1B89">
      <w:pPr>
        <w:tabs>
          <w:tab w:val="left" w:pos="5520"/>
        </w:tabs>
        <w:ind w:firstLine="480"/>
      </w:pPr>
      <w:r>
        <w:t>《清洁生产审核办法》（国家发展和改革委员会，国家环境保护部令第</w:t>
      </w:r>
      <w:r>
        <w:t>38</w:t>
      </w:r>
      <w:r>
        <w:t>号）</w:t>
      </w:r>
    </w:p>
    <w:p w:rsidR="00514A90" w:rsidRDefault="00BD1B89">
      <w:pPr>
        <w:tabs>
          <w:tab w:val="left" w:pos="5520"/>
        </w:tabs>
        <w:ind w:firstLine="480"/>
      </w:pPr>
      <w:r>
        <w:t>《河南省清洁生产审核实施细则》</w:t>
      </w:r>
      <w:r>
        <w:rPr>
          <w:rFonts w:hint="eastAsia"/>
        </w:rPr>
        <w:t>（</w:t>
      </w:r>
      <w:proofErr w:type="gramStart"/>
      <w:r>
        <w:rPr>
          <w:rFonts w:hint="eastAsia"/>
        </w:rPr>
        <w:t>豫发改环</w:t>
      </w:r>
      <w:proofErr w:type="gramEnd"/>
      <w:r>
        <w:rPr>
          <w:rFonts w:hint="eastAsia"/>
        </w:rPr>
        <w:t>资〔</w:t>
      </w:r>
      <w:r>
        <w:rPr>
          <w:rFonts w:hint="eastAsia"/>
        </w:rPr>
        <w:t>2018</w:t>
      </w:r>
      <w:r>
        <w:rPr>
          <w:rFonts w:hint="eastAsia"/>
        </w:rPr>
        <w:t>〕</w:t>
      </w:r>
      <w:r>
        <w:rPr>
          <w:rFonts w:hint="eastAsia"/>
        </w:rPr>
        <w:t>161</w:t>
      </w:r>
      <w:r>
        <w:rPr>
          <w:rFonts w:hint="eastAsia"/>
        </w:rPr>
        <w:t>号）</w:t>
      </w:r>
    </w:p>
    <w:p w:rsidR="00514A90" w:rsidRDefault="00BD1B89">
      <w:pPr>
        <w:tabs>
          <w:tab w:val="left" w:pos="5520"/>
        </w:tabs>
        <w:ind w:firstLine="480"/>
      </w:pPr>
      <w:r>
        <w:rPr>
          <w:rFonts w:hint="eastAsia"/>
        </w:rPr>
        <w:t>《</w:t>
      </w:r>
      <w:r>
        <w:t>河南省生态环境厅办公室关于公布</w:t>
      </w:r>
      <w:r>
        <w:t>202</w:t>
      </w:r>
      <w:r>
        <w:rPr>
          <w:rFonts w:hint="eastAsia"/>
        </w:rPr>
        <w:t>6</w:t>
      </w:r>
      <w:r>
        <w:t>年度河南省实施清洁生产审核企业名单的通知》</w:t>
      </w:r>
      <w:r>
        <w:rPr>
          <w:rFonts w:hint="eastAsia"/>
        </w:rPr>
        <w:t>（</w:t>
      </w:r>
      <w:proofErr w:type="gramStart"/>
      <w:r>
        <w:t>豫环办</w:t>
      </w:r>
      <w:proofErr w:type="gramEnd"/>
      <w:r>
        <w:t>〔</w:t>
      </w:r>
      <w:r>
        <w:t>202</w:t>
      </w:r>
      <w:r>
        <w:rPr>
          <w:rFonts w:hint="eastAsia"/>
        </w:rPr>
        <w:t>6</w:t>
      </w:r>
      <w:r>
        <w:t>〕</w:t>
      </w:r>
      <w:r>
        <w:rPr>
          <w:rFonts w:hint="eastAsia"/>
        </w:rPr>
        <w:t>5</w:t>
      </w:r>
      <w:r>
        <w:t>号</w:t>
      </w:r>
      <w:r>
        <w:rPr>
          <w:rFonts w:hint="eastAsia"/>
        </w:rPr>
        <w:t>）</w:t>
      </w:r>
    </w:p>
    <w:p w:rsidR="00514A90" w:rsidRDefault="00BD1B89">
      <w:pPr>
        <w:tabs>
          <w:tab w:val="left" w:pos="5520"/>
        </w:tabs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3.</w:t>
      </w:r>
      <w:r>
        <w:rPr>
          <w:rFonts w:ascii="黑体" w:eastAsia="黑体" w:hAnsi="黑体" w:cs="黑体" w:hint="eastAsia"/>
        </w:rPr>
        <w:t>公示内容</w:t>
      </w:r>
    </w:p>
    <w:p w:rsidR="00514A90" w:rsidRDefault="00BD1B89">
      <w:pPr>
        <w:tabs>
          <w:tab w:val="left" w:pos="5520"/>
        </w:tabs>
        <w:ind w:firstLine="480"/>
      </w:pPr>
      <w:r>
        <w:rPr>
          <w:rFonts w:hint="eastAsia"/>
        </w:rPr>
        <w:t>企业名称、法人代表、企业所在地址、排放污染物名称、排放方式、排放浓度和总量，危险废物的产生和处置情况，依法落实环境风险防控措施情况等。</w:t>
      </w:r>
    </w:p>
    <w:p w:rsidR="00514A90" w:rsidRDefault="00BD1B89">
      <w:pPr>
        <w:tabs>
          <w:tab w:val="left" w:pos="5520"/>
        </w:tabs>
        <w:ind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4.</w:t>
      </w:r>
      <w:r>
        <w:rPr>
          <w:rFonts w:ascii="黑体" w:eastAsia="黑体" w:hAnsi="黑体" w:cs="黑体" w:hint="eastAsia"/>
        </w:rPr>
        <w:t>公开信息</w:t>
      </w:r>
    </w:p>
    <w:p w:rsidR="00514A90" w:rsidRDefault="00BD1B89">
      <w:pPr>
        <w:tabs>
          <w:tab w:val="left" w:pos="5520"/>
        </w:tabs>
        <w:ind w:firstLine="482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.1</w:t>
      </w:r>
      <w:r>
        <w:rPr>
          <w:rFonts w:hint="eastAsia"/>
          <w:b/>
          <w:bCs/>
        </w:rPr>
        <w:t>基础信息</w:t>
      </w:r>
    </w:p>
    <w:p w:rsidR="00514A90" w:rsidRDefault="00BD1B89">
      <w:pPr>
        <w:tabs>
          <w:tab w:val="left" w:pos="5520"/>
        </w:tabs>
        <w:ind w:firstLine="480"/>
      </w:pPr>
      <w:r>
        <w:rPr>
          <w:rFonts w:hint="eastAsia"/>
        </w:rPr>
        <w:t>企业名称：河南中联重科智能农机有限责任公司</w:t>
      </w:r>
    </w:p>
    <w:p w:rsidR="00514A90" w:rsidRDefault="00BD1B89">
      <w:pPr>
        <w:tabs>
          <w:tab w:val="left" w:pos="5520"/>
        </w:tabs>
        <w:ind w:firstLine="480"/>
      </w:pPr>
      <w:r>
        <w:rPr>
          <w:rFonts w:hint="eastAsia"/>
        </w:rPr>
        <w:t>法人代表：王立明</w:t>
      </w:r>
    </w:p>
    <w:p w:rsidR="00514A90" w:rsidRDefault="00BD1B89">
      <w:pPr>
        <w:tabs>
          <w:tab w:val="left" w:pos="5520"/>
        </w:tabs>
        <w:ind w:firstLine="480"/>
      </w:pPr>
      <w:r>
        <w:rPr>
          <w:rFonts w:hint="eastAsia"/>
        </w:rPr>
        <w:t>企业所在地址：开封市宋城路</w:t>
      </w:r>
      <w:r>
        <w:rPr>
          <w:rFonts w:hint="eastAsia"/>
        </w:rPr>
        <w:t>98</w:t>
      </w:r>
      <w:r>
        <w:rPr>
          <w:rFonts w:hint="eastAsia"/>
        </w:rPr>
        <w:t>号</w:t>
      </w:r>
    </w:p>
    <w:p w:rsidR="00514A90" w:rsidRDefault="00BD1B89">
      <w:pPr>
        <w:tabs>
          <w:tab w:val="left" w:pos="5520"/>
        </w:tabs>
        <w:ind w:firstLine="482"/>
        <w:rPr>
          <w:b/>
          <w:bCs/>
        </w:rPr>
      </w:pPr>
      <w:r>
        <w:rPr>
          <w:rFonts w:hint="eastAsia"/>
          <w:b/>
          <w:bCs/>
        </w:rPr>
        <w:t>4.2</w:t>
      </w:r>
      <w:r>
        <w:rPr>
          <w:rFonts w:hint="eastAsia"/>
          <w:b/>
          <w:bCs/>
        </w:rPr>
        <w:t>污染物排放情</w:t>
      </w:r>
      <w:r>
        <w:rPr>
          <w:rFonts w:hint="eastAsia"/>
          <w:b/>
          <w:bCs/>
        </w:rPr>
        <w:t>况</w:t>
      </w:r>
    </w:p>
    <w:p w:rsidR="00514A90" w:rsidRDefault="00BD1B89">
      <w:pPr>
        <w:ind w:firstLineChars="0" w:firstLine="0"/>
        <w:jc w:val="center"/>
        <w:rPr>
          <w:b/>
        </w:rPr>
      </w:pPr>
      <w:r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 xml:space="preserve">  </w:t>
      </w:r>
      <w:r>
        <w:rPr>
          <w:rFonts w:hint="eastAsia"/>
          <w:b/>
        </w:rPr>
        <w:t>污染物排放情况表</w:t>
      </w:r>
    </w:p>
    <w:tbl>
      <w:tblPr>
        <w:tblW w:w="499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7"/>
        <w:gridCol w:w="1096"/>
        <w:gridCol w:w="1097"/>
        <w:gridCol w:w="1931"/>
        <w:gridCol w:w="1624"/>
        <w:gridCol w:w="1751"/>
        <w:gridCol w:w="1119"/>
      </w:tblGrid>
      <w:tr w:rsidR="00514A90">
        <w:trPr>
          <w:trHeight w:val="454"/>
          <w:tblHeader/>
        </w:trPr>
        <w:tc>
          <w:tcPr>
            <w:tcW w:w="2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类型</w:t>
            </w: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污染物</w:t>
            </w:r>
            <w:r>
              <w:rPr>
                <w:b/>
              </w:rPr>
              <w:t>名称</w:t>
            </w:r>
          </w:p>
        </w:tc>
        <w:tc>
          <w:tcPr>
            <w:tcW w:w="10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排放方式</w:t>
            </w: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排放浓度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排放总量（</w:t>
            </w:r>
            <w:r>
              <w:rPr>
                <w:b/>
              </w:rPr>
              <w:t>t/a</w:t>
            </w:r>
            <w:r>
              <w:rPr>
                <w:b/>
              </w:rPr>
              <w:t>）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b/>
              </w:rPr>
              <w:t>是否超标</w:t>
            </w:r>
            <w:r>
              <w:rPr>
                <w:b/>
              </w:rPr>
              <w:t>/</w:t>
            </w:r>
            <w:r>
              <w:rPr>
                <w:b/>
              </w:rPr>
              <w:t>是否超总量</w:t>
            </w:r>
          </w:p>
        </w:tc>
      </w:tr>
      <w:tr w:rsidR="00514A90">
        <w:trPr>
          <w:trHeight w:val="537"/>
        </w:trPr>
        <w:tc>
          <w:tcPr>
            <w:tcW w:w="2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废气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DA004</w:t>
            </w:r>
            <w:proofErr w:type="gramStart"/>
            <w:r>
              <w:t>污水处理站排气筒</w:t>
            </w:r>
            <w:proofErr w:type="gramEnd"/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氨</w:t>
            </w:r>
          </w:p>
        </w:tc>
        <w:tc>
          <w:tcPr>
            <w:tcW w:w="10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UV</w:t>
            </w:r>
            <w:proofErr w:type="gramStart"/>
            <w:r>
              <w:rPr>
                <w:rFonts w:hint="eastAsia"/>
              </w:rPr>
              <w:t>光氧</w:t>
            </w:r>
            <w:r>
              <w:rPr>
                <w:rFonts w:hint="eastAsia"/>
              </w:rPr>
              <w:t>+</w:t>
            </w:r>
            <w:proofErr w:type="gramEnd"/>
            <w:r>
              <w:rPr>
                <w:rFonts w:hint="eastAsia"/>
              </w:rPr>
              <w:t>活性炭</w:t>
            </w:r>
          </w:p>
          <w:p w:rsidR="00514A90" w:rsidRDefault="00BD1B89">
            <w:pPr>
              <w:pStyle w:val="af3"/>
            </w:pPr>
            <w:r>
              <w:rPr>
                <w:rFonts w:hint="eastAsia"/>
              </w:rPr>
              <w:t>吸附后经</w:t>
            </w:r>
            <w:r>
              <w:rPr>
                <w:rFonts w:hint="eastAsia"/>
              </w:rPr>
              <w:t>15m</w:t>
            </w:r>
            <w:r>
              <w:rPr>
                <w:rFonts w:hint="eastAsia"/>
              </w:rPr>
              <w:t>排气筒排放</w:t>
            </w: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1.13</w:t>
            </w:r>
            <w:r>
              <w:rPr>
                <w:rFonts w:hint="eastAsia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/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硫化氢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0.16</w:t>
            </w:r>
            <w:r>
              <w:rPr>
                <w:rFonts w:hint="eastAsia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臭气浓度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549</w:t>
            </w:r>
            <w:r>
              <w:rPr>
                <w:rFonts w:hint="eastAsia"/>
              </w:rPr>
              <w:t>（无量纲）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DA005</w:t>
            </w:r>
            <w:r>
              <w:rPr>
                <w:rFonts w:hint="eastAsia"/>
              </w:rPr>
              <w:t xml:space="preserve"> </w:t>
            </w:r>
            <w:r>
              <w:t>2#</w:t>
            </w:r>
            <w:r>
              <w:t>焊接工序排气筒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颗粒物</w:t>
            </w:r>
          </w:p>
        </w:tc>
        <w:tc>
          <w:tcPr>
            <w:tcW w:w="10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固定工位</w:t>
            </w:r>
            <w:r>
              <w:t>+</w:t>
            </w:r>
            <w:r>
              <w:t>集气罩</w:t>
            </w:r>
            <w:r>
              <w:t>+</w:t>
            </w:r>
            <w:r>
              <w:t>滤筒除尘器</w:t>
            </w:r>
            <w:r>
              <w:rPr>
                <w:rFonts w:hint="eastAsia"/>
              </w:rPr>
              <w:t>后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15m</w:t>
            </w:r>
            <w:r>
              <w:rPr>
                <w:rFonts w:hint="eastAsia"/>
              </w:rPr>
              <w:t>排气筒排放</w:t>
            </w: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4.0</w:t>
            </w:r>
            <w:r>
              <w:rPr>
                <w:rFonts w:hint="eastAsia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DA001</w:t>
            </w:r>
          </w:p>
          <w:p w:rsidR="00514A90" w:rsidRDefault="00BD1B89">
            <w:pPr>
              <w:pStyle w:val="af3"/>
            </w:pPr>
            <w:r>
              <w:t>废气排放口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氮氧化物</w:t>
            </w:r>
          </w:p>
        </w:tc>
        <w:tc>
          <w:tcPr>
            <w:tcW w:w="10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proofErr w:type="gramStart"/>
            <w:r>
              <w:t>水旋喷漆</w:t>
            </w:r>
            <w:proofErr w:type="gramEnd"/>
            <w:r>
              <w:t>漆雾净化装置</w:t>
            </w:r>
            <w:r>
              <w:t>+</w:t>
            </w:r>
            <w:r>
              <w:t>活性炭吸脱附</w:t>
            </w:r>
            <w:r>
              <w:t>+CO</w:t>
            </w:r>
            <w:r>
              <w:t>催化</w:t>
            </w:r>
            <w:r>
              <w:rPr>
                <w:rFonts w:hint="eastAsia"/>
              </w:rPr>
              <w:t>燃烧</w:t>
            </w: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ND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1.1292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ND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1.1292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颗粒物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2.258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苯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ND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0.113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甲苯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二甲苯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ND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2.26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537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非甲烷总</w:t>
            </w:r>
          </w:p>
          <w:p w:rsidR="00514A90" w:rsidRDefault="00BD1B89">
            <w:pPr>
              <w:pStyle w:val="af3"/>
            </w:pPr>
            <w:r>
              <w:rPr>
                <w:rFonts w:hint="eastAsia"/>
              </w:rPr>
              <w:t>烃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12.4</w:t>
            </w:r>
            <w:r>
              <w:rPr>
                <w:rFonts w:hint="eastAsia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9.0336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否</w:t>
            </w:r>
          </w:p>
        </w:tc>
      </w:tr>
      <w:tr w:rsidR="00514A90">
        <w:trPr>
          <w:trHeight w:val="454"/>
        </w:trPr>
        <w:tc>
          <w:tcPr>
            <w:tcW w:w="2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废水</w:t>
            </w: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五日生化需氧量</w:t>
            </w:r>
          </w:p>
        </w:tc>
        <w:tc>
          <w:tcPr>
            <w:tcW w:w="10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预处理系统（混凝</w:t>
            </w:r>
            <w:r>
              <w:t>+</w:t>
            </w:r>
            <w:r>
              <w:t>气浮）</w:t>
            </w:r>
            <w:r>
              <w:t>+</w:t>
            </w:r>
            <w:r>
              <w:t>生产废水处理系统（混凝沉淀）</w:t>
            </w:r>
            <w:r>
              <w:t>+</w:t>
            </w:r>
            <w:r>
              <w:t>生化系统（水解酸化</w:t>
            </w:r>
            <w:r>
              <w:t>+</w:t>
            </w:r>
            <w:r>
              <w:t>生物接触氧化）进入开封新区马家河污水处理厂进一步处理</w:t>
            </w: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14.2mg/L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454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阴离子表面活性剂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0.071</w:t>
            </w:r>
            <w:r>
              <w:rPr>
                <w:spacing w:val="8"/>
                <w:sz w:val="20"/>
                <w:szCs w:val="20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454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磷酸盐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0.780</w:t>
            </w:r>
            <w:r>
              <w:rPr>
                <w:spacing w:val="8"/>
                <w:sz w:val="20"/>
                <w:szCs w:val="20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  <w:tr w:rsidR="00514A90">
        <w:trPr>
          <w:trHeight w:val="454"/>
        </w:trPr>
        <w:tc>
          <w:tcPr>
            <w:tcW w:w="2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12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石油类</w:t>
            </w:r>
          </w:p>
        </w:tc>
        <w:tc>
          <w:tcPr>
            <w:tcW w:w="106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514A90">
            <w:pPr>
              <w:pStyle w:val="af3"/>
            </w:pPr>
          </w:p>
        </w:tc>
        <w:tc>
          <w:tcPr>
            <w:tcW w:w="8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1.32</w:t>
            </w:r>
            <w:r>
              <w:rPr>
                <w:spacing w:val="8"/>
                <w:sz w:val="20"/>
                <w:szCs w:val="20"/>
              </w:rPr>
              <w:t>mg/L</w:t>
            </w:r>
          </w:p>
        </w:tc>
        <w:tc>
          <w:tcPr>
            <w:tcW w:w="9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  <w:tc>
          <w:tcPr>
            <w:tcW w:w="6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/</w:t>
            </w:r>
          </w:p>
        </w:tc>
      </w:tr>
    </w:tbl>
    <w:p w:rsidR="00514A90" w:rsidRDefault="00BD1B89">
      <w:pPr>
        <w:tabs>
          <w:tab w:val="left" w:pos="5520"/>
        </w:tabs>
        <w:ind w:firstLine="482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危险废物的产生和处置情况</w:t>
      </w:r>
    </w:p>
    <w:p w:rsidR="00514A90" w:rsidRDefault="00BD1B89">
      <w:pPr>
        <w:ind w:firstLineChars="0" w:firstLine="0"/>
        <w:jc w:val="center"/>
      </w:pPr>
      <w:r>
        <w:rPr>
          <w:b/>
        </w:rPr>
        <w:t>表</w:t>
      </w:r>
      <w:r>
        <w:rPr>
          <w:rFonts w:hint="eastAsia"/>
          <w:b/>
        </w:rPr>
        <w:t>2</w:t>
      </w:r>
      <w:r>
        <w:rPr>
          <w:b/>
        </w:rPr>
        <w:t xml:space="preserve">  </w:t>
      </w:r>
      <w:r>
        <w:rPr>
          <w:rFonts w:hint="eastAsia"/>
          <w:b/>
          <w:bCs/>
        </w:rPr>
        <w:t>危险废物的产生和处置情况</w:t>
      </w:r>
      <w:r>
        <w:rPr>
          <w:rFonts w:hint="eastAsia"/>
          <w:b/>
        </w:rPr>
        <w:t>表</w:t>
      </w:r>
    </w:p>
    <w:tbl>
      <w:tblPr>
        <w:tblW w:w="499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05"/>
        <w:gridCol w:w="1712"/>
        <w:gridCol w:w="2216"/>
        <w:gridCol w:w="2203"/>
        <w:gridCol w:w="2205"/>
      </w:tblGrid>
      <w:tr w:rsidR="00514A90">
        <w:trPr>
          <w:trHeight w:val="397"/>
          <w:tblHeader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危废名称</w:t>
            </w:r>
            <w:proofErr w:type="gramEnd"/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rFonts w:hint="eastAsia"/>
                <w:b/>
              </w:rPr>
              <w:t>产生来源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rFonts w:hint="eastAsia"/>
                <w:b/>
              </w:rPr>
              <w:t>产生量（</w:t>
            </w:r>
            <w:r>
              <w:rPr>
                <w:rFonts w:hint="eastAsia"/>
                <w:b/>
              </w:rPr>
              <w:t>t/a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b/>
              </w:rPr>
            </w:pPr>
            <w:r>
              <w:rPr>
                <w:rFonts w:hint="eastAsia"/>
                <w:b/>
              </w:rPr>
              <w:t>处置方式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1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</w:pPr>
            <w:proofErr w:type="gramStart"/>
            <w:r>
              <w:rPr>
                <w:rFonts w:hint="eastAsia"/>
              </w:rPr>
              <w:t>废漆渣</w:t>
            </w:r>
            <w:proofErr w:type="gramEnd"/>
            <w:r>
              <w:rPr>
                <w:rFonts w:hint="eastAsia"/>
              </w:rPr>
              <w:t>900-252-12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喷漆工序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75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2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废切削液</w:t>
            </w:r>
            <w:r>
              <w:rPr>
                <w:rFonts w:hint="eastAsia"/>
              </w:rPr>
              <w:t>900-007-09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机加工工序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1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3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rPr>
                <w:rFonts w:hint="eastAsia"/>
              </w:rPr>
              <w:t>废水处理污泥</w:t>
            </w:r>
            <w:r>
              <w:rPr>
                <w:rFonts w:hint="eastAsia"/>
              </w:rPr>
              <w:t>900-046-49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污水处理站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20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4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硅烷化残渣</w:t>
            </w:r>
            <w:r>
              <w:rPr>
                <w:rFonts w:hint="eastAsia"/>
              </w:rPr>
              <w:t>900-046-49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硅烷工序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1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5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废过滤棉</w:t>
            </w:r>
            <w:r>
              <w:rPr>
                <w:rFonts w:hint="eastAsia"/>
              </w:rPr>
              <w:t>900-041-49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废气处理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1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6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rPr>
                <w:rFonts w:hint="eastAsia"/>
              </w:rPr>
              <w:t>废活性炭</w:t>
            </w:r>
            <w:r>
              <w:rPr>
                <w:rFonts w:hint="eastAsia"/>
              </w:rPr>
              <w:t>900-039-49</w:t>
            </w:r>
          </w:p>
        </w:tc>
        <w:tc>
          <w:tcPr>
            <w:tcW w:w="1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废气处理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4.5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rPr>
                <w:rFonts w:hint="eastAsia"/>
              </w:rPr>
              <w:t>在线监测废液</w:t>
            </w:r>
            <w:r>
              <w:rPr>
                <w:rFonts w:hint="eastAsia"/>
              </w:rPr>
              <w:t>900-047-49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在线监测废液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0.1</w:t>
            </w:r>
          </w:p>
        </w:tc>
        <w:tc>
          <w:tcPr>
            <w:tcW w:w="0" w:type="auto"/>
            <w:shd w:val="clear" w:color="auto" w:fill="auto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  <w:tr w:rsidR="00514A90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rPr>
                <w:rFonts w:hint="eastAsia"/>
              </w:rPr>
              <w:t>废油漆桶</w:t>
            </w:r>
            <w:r>
              <w:rPr>
                <w:rFonts w:hint="eastAsia"/>
              </w:rPr>
              <w:t>900-041-49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</w:pPr>
            <w:r>
              <w:t>设备维修保养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A90" w:rsidRDefault="00BD1B89">
            <w:pPr>
              <w:pStyle w:val="af3"/>
              <w:rPr>
                <w:lang w:eastAsia="en-US"/>
              </w:rPr>
            </w:pPr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514A90" w:rsidRDefault="00BD1B89">
            <w:pPr>
              <w:pStyle w:val="af3"/>
            </w:pPr>
            <w:r>
              <w:rPr>
                <w:rFonts w:hint="eastAsia"/>
              </w:rPr>
              <w:t>定期送有资质单位安全处置</w:t>
            </w:r>
          </w:p>
        </w:tc>
      </w:tr>
    </w:tbl>
    <w:p w:rsidR="00514A90" w:rsidRDefault="00BD1B89">
      <w:pPr>
        <w:tabs>
          <w:tab w:val="left" w:pos="5520"/>
        </w:tabs>
        <w:ind w:firstLine="482"/>
        <w:rPr>
          <w:b/>
          <w:bCs/>
        </w:rPr>
      </w:pPr>
      <w:r>
        <w:rPr>
          <w:rFonts w:hint="eastAsia"/>
          <w:b/>
          <w:bCs/>
        </w:rPr>
        <w:lastRenderedPageBreak/>
        <w:t>4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环境风险防范措施落实情况</w:t>
      </w:r>
    </w:p>
    <w:p w:rsidR="00514A90" w:rsidRDefault="00BD1B89">
      <w:pPr>
        <w:ind w:firstLine="480"/>
        <w:jc w:val="left"/>
      </w:pPr>
      <w:r w:rsidRPr="00083A69">
        <w:rPr>
          <w:rFonts w:hint="eastAsia"/>
        </w:rPr>
        <w:t>202</w:t>
      </w:r>
      <w:r w:rsidR="00083A69">
        <w:t>6</w:t>
      </w:r>
      <w:r w:rsidRPr="00083A69">
        <w:rPr>
          <w:rFonts w:hint="eastAsia"/>
        </w:rPr>
        <w:t>年</w:t>
      </w:r>
      <w:r w:rsidR="00083A69">
        <w:rPr>
          <w:rFonts w:hint="eastAsia"/>
        </w:rPr>
        <w:t>河南中联重科智能农机有限责任</w:t>
      </w:r>
      <w:r w:rsidRPr="00083A69">
        <w:rPr>
          <w:rFonts w:hint="eastAsia"/>
        </w:rPr>
        <w:t>公司</w:t>
      </w:r>
      <w:r w:rsidRPr="00083A69">
        <w:rPr>
          <w:rFonts w:hint="eastAsia"/>
        </w:rPr>
        <w:t>委托第三方公司编制</w:t>
      </w:r>
      <w:r w:rsidR="00083A69">
        <w:rPr>
          <w:rFonts w:hint="eastAsia"/>
        </w:rPr>
        <w:t>河南中联重科智能农机有限责任公司</w:t>
      </w:r>
      <w:r w:rsidRPr="00083A69">
        <w:rPr>
          <w:rFonts w:hint="eastAsia"/>
        </w:rPr>
        <w:t>突发环境事件应急预案，突发环境事件风险评估，突发环境事件应急调查报告并在</w:t>
      </w:r>
      <w:r w:rsidR="00083A69">
        <w:rPr>
          <w:rFonts w:hint="eastAsia"/>
        </w:rPr>
        <w:t>开封</w:t>
      </w:r>
      <w:r w:rsidRPr="00083A69">
        <w:rPr>
          <w:rFonts w:hint="eastAsia"/>
        </w:rPr>
        <w:t>市生态环境局</w:t>
      </w:r>
      <w:r w:rsidR="00083A69">
        <w:rPr>
          <w:rFonts w:hint="eastAsia"/>
        </w:rPr>
        <w:t>城乡一体化示范区</w:t>
      </w:r>
      <w:r w:rsidRPr="00083A69">
        <w:rPr>
          <w:rFonts w:hint="eastAsia"/>
        </w:rPr>
        <w:t>分局</w:t>
      </w:r>
      <w:r w:rsidRPr="00083A69">
        <w:rPr>
          <w:rFonts w:hint="eastAsia"/>
        </w:rPr>
        <w:t>备案，备案编号：</w:t>
      </w:r>
      <w:r w:rsidRPr="00083A69">
        <w:rPr>
          <w:rFonts w:hint="eastAsia"/>
        </w:rPr>
        <w:t>410</w:t>
      </w:r>
      <w:r w:rsidR="00083A69">
        <w:t>211</w:t>
      </w:r>
      <w:r w:rsidRPr="00083A69">
        <w:rPr>
          <w:rFonts w:hint="eastAsia"/>
        </w:rPr>
        <w:t>-202</w:t>
      </w:r>
      <w:r w:rsidR="00083A69">
        <w:t>2</w:t>
      </w:r>
      <w:r w:rsidRPr="00083A69">
        <w:rPr>
          <w:rFonts w:hint="eastAsia"/>
        </w:rPr>
        <w:t>-0</w:t>
      </w:r>
      <w:r w:rsidR="00083A69">
        <w:t>11</w:t>
      </w:r>
      <w:r w:rsidRPr="00083A69">
        <w:rPr>
          <w:rFonts w:hint="eastAsia"/>
        </w:rPr>
        <w:t>-</w:t>
      </w:r>
      <w:r w:rsidR="00083A69">
        <w:t>L</w:t>
      </w:r>
      <w:r w:rsidRPr="00083A69">
        <w:rPr>
          <w:rFonts w:hint="eastAsia"/>
        </w:rPr>
        <w:t>；</w:t>
      </w:r>
      <w:r w:rsidR="00AF4642">
        <w:rPr>
          <w:rFonts w:hint="eastAsia"/>
        </w:rPr>
        <w:t>因</w:t>
      </w:r>
      <w:r w:rsidR="00AF4642">
        <w:rPr>
          <w:rFonts w:hint="eastAsia"/>
        </w:rPr>
        <w:t>2</w:t>
      </w:r>
      <w:r w:rsidR="00AF4642">
        <w:t>025</w:t>
      </w:r>
      <w:r w:rsidR="00AF4642">
        <w:t>年</w:t>
      </w:r>
      <w:proofErr w:type="gramStart"/>
      <w:r w:rsidR="00AF4642">
        <w:t>技改未</w:t>
      </w:r>
      <w:proofErr w:type="gramEnd"/>
      <w:r w:rsidR="00AF4642">
        <w:t>结束，新的应急预案备案已申请延期，待技改施工结束即重新编制并备案。公司</w:t>
      </w:r>
      <w:r w:rsidRPr="00083A69">
        <w:rPr>
          <w:rFonts w:hint="eastAsia"/>
        </w:rPr>
        <w:t>配备有</w:t>
      </w:r>
      <w:r w:rsidRPr="00083A69">
        <w:rPr>
          <w:rFonts w:hint="eastAsia"/>
        </w:rPr>
        <w:t>消防沙、吸油毡、正压式呼吸器</w:t>
      </w:r>
      <w:r w:rsidRPr="00083A69">
        <w:rPr>
          <w:rFonts w:hint="eastAsia"/>
        </w:rPr>
        <w:t>等应急器材，定期进行环境应急预案演</w:t>
      </w:r>
      <w:r>
        <w:rPr>
          <w:rFonts w:hint="eastAsia"/>
        </w:rPr>
        <w:t>练。</w:t>
      </w:r>
      <w:r w:rsidR="00083A69">
        <w:rPr>
          <w:rFonts w:hint="eastAsia"/>
        </w:rPr>
        <w:t>河南中联重科</w:t>
      </w:r>
      <w:r>
        <w:rPr>
          <w:rFonts w:hint="eastAsia"/>
        </w:rPr>
        <w:t>按照应急预案落实环境风险防控。公司设立</w:t>
      </w:r>
      <w:proofErr w:type="gramStart"/>
      <w:r>
        <w:rPr>
          <w:rFonts w:hint="eastAsia"/>
        </w:rPr>
        <w:t>有危废暂存</w:t>
      </w:r>
      <w:proofErr w:type="gramEnd"/>
      <w:r>
        <w:rPr>
          <w:rFonts w:hint="eastAsia"/>
        </w:rPr>
        <w:t>间，</w:t>
      </w:r>
      <w:proofErr w:type="gramStart"/>
      <w:r>
        <w:rPr>
          <w:rFonts w:hint="eastAsia"/>
        </w:rPr>
        <w:t>危废暂存</w:t>
      </w:r>
      <w:proofErr w:type="gramEnd"/>
      <w:r>
        <w:rPr>
          <w:rFonts w:hint="eastAsia"/>
        </w:rPr>
        <w:t>间设有废油收集托盘，与有处理资质的单位签订处理协议。</w:t>
      </w:r>
    </w:p>
    <w:p w:rsidR="00514A90" w:rsidRDefault="00AF4642">
      <w:pPr>
        <w:ind w:firstLine="480"/>
        <w:jc w:val="left"/>
      </w:pPr>
      <w:r>
        <w:rPr>
          <w:rFonts w:hint="eastAsia"/>
        </w:rPr>
        <w:t xml:space="preserve"> </w:t>
      </w:r>
      <w:r>
        <w:t xml:space="preserve"> </w:t>
      </w:r>
    </w:p>
    <w:p w:rsidR="00AF4642" w:rsidRDefault="00AF4642">
      <w:pPr>
        <w:ind w:firstLine="480"/>
        <w:jc w:val="left"/>
      </w:pPr>
    </w:p>
    <w:p w:rsidR="00AF4642" w:rsidRDefault="00AF4642" w:rsidP="00AF4642">
      <w:pPr>
        <w:ind w:firstLine="480"/>
        <w:jc w:val="right"/>
      </w:pPr>
      <w:r>
        <w:t>河南中联重科智能农机有限责任公司</w:t>
      </w:r>
    </w:p>
    <w:p w:rsidR="00AF4642" w:rsidRDefault="00AF4642" w:rsidP="00AF4642">
      <w:pPr>
        <w:ind w:firstLine="480"/>
        <w:jc w:val="right"/>
        <w:rPr>
          <w:rFonts w:hint="eastAsia"/>
        </w:rPr>
      </w:pPr>
      <w:bookmarkStart w:id="0" w:name="_GoBack"/>
      <w:bookmarkEnd w:id="0"/>
    </w:p>
    <w:p w:rsidR="00AF4642" w:rsidRDefault="00AF4642" w:rsidP="00AF4642">
      <w:pPr>
        <w:ind w:firstLine="480"/>
        <w:jc w:val="right"/>
        <w:rPr>
          <w:rFonts w:hint="eastAsia"/>
        </w:rPr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sectPr w:rsidR="00AF4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531" w:bottom="181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89" w:rsidRDefault="00BD1B89">
      <w:pPr>
        <w:spacing w:line="240" w:lineRule="auto"/>
        <w:ind w:firstLine="480"/>
      </w:pPr>
      <w:r>
        <w:separator/>
      </w:r>
    </w:p>
  </w:endnote>
  <w:endnote w:type="continuationSeparator" w:id="0">
    <w:p w:rsidR="00BD1B89" w:rsidRDefault="00BD1B8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BD1B89">
    <w:pPr>
      <w:pStyle w:val="a9"/>
      <w:framePr w:wrap="around" w:vAnchor="text" w:hAnchor="margin" w:xAlign="center" w:y="1"/>
      <w:ind w:firstLine="36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4A90" w:rsidRDefault="00514A9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514A90">
    <w:pPr>
      <w:pStyle w:val="a9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514A9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89" w:rsidRDefault="00BD1B89">
      <w:pPr>
        <w:ind w:firstLine="480"/>
      </w:pPr>
      <w:r>
        <w:separator/>
      </w:r>
    </w:p>
  </w:footnote>
  <w:footnote w:type="continuationSeparator" w:id="0">
    <w:p w:rsidR="00BD1B89" w:rsidRDefault="00BD1B8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514A90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514A90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90" w:rsidRDefault="00514A90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NTdjYTEzZTZmNzlmZmZkZDE2ZmFmOGQ5ZjUyMDYifQ=="/>
  </w:docVars>
  <w:rsids>
    <w:rsidRoot w:val="00172A27"/>
    <w:rsid w:val="000010A9"/>
    <w:rsid w:val="00006B6C"/>
    <w:rsid w:val="00006E34"/>
    <w:rsid w:val="00007598"/>
    <w:rsid w:val="00007FB4"/>
    <w:rsid w:val="00012580"/>
    <w:rsid w:val="0001386A"/>
    <w:rsid w:val="00013F25"/>
    <w:rsid w:val="0001586C"/>
    <w:rsid w:val="000172EC"/>
    <w:rsid w:val="00022AA9"/>
    <w:rsid w:val="0002625C"/>
    <w:rsid w:val="00032519"/>
    <w:rsid w:val="000334DF"/>
    <w:rsid w:val="00033897"/>
    <w:rsid w:val="00034A52"/>
    <w:rsid w:val="0004427F"/>
    <w:rsid w:val="00044A71"/>
    <w:rsid w:val="0005149C"/>
    <w:rsid w:val="00065AAD"/>
    <w:rsid w:val="00071A51"/>
    <w:rsid w:val="00073CAD"/>
    <w:rsid w:val="00083A69"/>
    <w:rsid w:val="000853FC"/>
    <w:rsid w:val="0008617F"/>
    <w:rsid w:val="000970CE"/>
    <w:rsid w:val="000A14BE"/>
    <w:rsid w:val="000A4CB3"/>
    <w:rsid w:val="000A686C"/>
    <w:rsid w:val="000B2B58"/>
    <w:rsid w:val="000B6F49"/>
    <w:rsid w:val="000B73E0"/>
    <w:rsid w:val="000C06B5"/>
    <w:rsid w:val="000E19B4"/>
    <w:rsid w:val="000E4CF1"/>
    <w:rsid w:val="000E55C1"/>
    <w:rsid w:val="000E5DA9"/>
    <w:rsid w:val="000F1D5C"/>
    <w:rsid w:val="000F5DD3"/>
    <w:rsid w:val="000F7459"/>
    <w:rsid w:val="001007DB"/>
    <w:rsid w:val="0010112F"/>
    <w:rsid w:val="00101328"/>
    <w:rsid w:val="00101E64"/>
    <w:rsid w:val="0010477C"/>
    <w:rsid w:val="0010521C"/>
    <w:rsid w:val="00106B5C"/>
    <w:rsid w:val="00107210"/>
    <w:rsid w:val="0010750F"/>
    <w:rsid w:val="0011185C"/>
    <w:rsid w:val="00112342"/>
    <w:rsid w:val="00112906"/>
    <w:rsid w:val="00114359"/>
    <w:rsid w:val="00116570"/>
    <w:rsid w:val="00121CFF"/>
    <w:rsid w:val="0013574A"/>
    <w:rsid w:val="00135E86"/>
    <w:rsid w:val="00142D00"/>
    <w:rsid w:val="00145506"/>
    <w:rsid w:val="00145AAD"/>
    <w:rsid w:val="001612F2"/>
    <w:rsid w:val="001658EB"/>
    <w:rsid w:val="00166E76"/>
    <w:rsid w:val="00172A27"/>
    <w:rsid w:val="00182A7C"/>
    <w:rsid w:val="00192C38"/>
    <w:rsid w:val="001965DF"/>
    <w:rsid w:val="001A0690"/>
    <w:rsid w:val="001A29A4"/>
    <w:rsid w:val="001A4E88"/>
    <w:rsid w:val="001A631F"/>
    <w:rsid w:val="001B2996"/>
    <w:rsid w:val="001B7038"/>
    <w:rsid w:val="001D03B9"/>
    <w:rsid w:val="001D3B0D"/>
    <w:rsid w:val="001D483A"/>
    <w:rsid w:val="001F35A8"/>
    <w:rsid w:val="001F4A8A"/>
    <w:rsid w:val="0021182C"/>
    <w:rsid w:val="00212A5D"/>
    <w:rsid w:val="00213CC6"/>
    <w:rsid w:val="00214B22"/>
    <w:rsid w:val="00217849"/>
    <w:rsid w:val="00223B49"/>
    <w:rsid w:val="002253EF"/>
    <w:rsid w:val="0023345E"/>
    <w:rsid w:val="0024055E"/>
    <w:rsid w:val="002408A0"/>
    <w:rsid w:val="00244242"/>
    <w:rsid w:val="00250B78"/>
    <w:rsid w:val="002522CE"/>
    <w:rsid w:val="00252FC7"/>
    <w:rsid w:val="00260792"/>
    <w:rsid w:val="00262075"/>
    <w:rsid w:val="00263687"/>
    <w:rsid w:val="00265D3F"/>
    <w:rsid w:val="00272068"/>
    <w:rsid w:val="002752C3"/>
    <w:rsid w:val="00281704"/>
    <w:rsid w:val="00283AE6"/>
    <w:rsid w:val="00283E5D"/>
    <w:rsid w:val="00290D32"/>
    <w:rsid w:val="0029213A"/>
    <w:rsid w:val="002A2862"/>
    <w:rsid w:val="002A4B7A"/>
    <w:rsid w:val="002B2AB1"/>
    <w:rsid w:val="002B2B8E"/>
    <w:rsid w:val="002B39BE"/>
    <w:rsid w:val="002D4362"/>
    <w:rsid w:val="002D635F"/>
    <w:rsid w:val="002D74B3"/>
    <w:rsid w:val="002E56A6"/>
    <w:rsid w:val="002E6D45"/>
    <w:rsid w:val="002F09D3"/>
    <w:rsid w:val="002F4B4B"/>
    <w:rsid w:val="00301493"/>
    <w:rsid w:val="00304277"/>
    <w:rsid w:val="00307D17"/>
    <w:rsid w:val="0032167C"/>
    <w:rsid w:val="00321AA8"/>
    <w:rsid w:val="00331A01"/>
    <w:rsid w:val="0033294C"/>
    <w:rsid w:val="00332AC9"/>
    <w:rsid w:val="00333957"/>
    <w:rsid w:val="00333F7F"/>
    <w:rsid w:val="00334150"/>
    <w:rsid w:val="003430DD"/>
    <w:rsid w:val="00345E91"/>
    <w:rsid w:val="003548EF"/>
    <w:rsid w:val="00356FEE"/>
    <w:rsid w:val="00357BAB"/>
    <w:rsid w:val="003657FF"/>
    <w:rsid w:val="00376847"/>
    <w:rsid w:val="00384F34"/>
    <w:rsid w:val="00393EBB"/>
    <w:rsid w:val="003A3939"/>
    <w:rsid w:val="003A5426"/>
    <w:rsid w:val="003A7E9B"/>
    <w:rsid w:val="003B31D5"/>
    <w:rsid w:val="003B7062"/>
    <w:rsid w:val="003C2282"/>
    <w:rsid w:val="003C299A"/>
    <w:rsid w:val="003C4D5E"/>
    <w:rsid w:val="003C6E6C"/>
    <w:rsid w:val="003D0327"/>
    <w:rsid w:val="003D1C0C"/>
    <w:rsid w:val="003D2E7D"/>
    <w:rsid w:val="003D3C48"/>
    <w:rsid w:val="003E062D"/>
    <w:rsid w:val="003F23CE"/>
    <w:rsid w:val="00402E27"/>
    <w:rsid w:val="004059DF"/>
    <w:rsid w:val="00405FE2"/>
    <w:rsid w:val="00414854"/>
    <w:rsid w:val="004204DF"/>
    <w:rsid w:val="00426464"/>
    <w:rsid w:val="0045354E"/>
    <w:rsid w:val="00453E2C"/>
    <w:rsid w:val="004555DE"/>
    <w:rsid w:val="00460919"/>
    <w:rsid w:val="00480B7E"/>
    <w:rsid w:val="00490993"/>
    <w:rsid w:val="00494196"/>
    <w:rsid w:val="004B6F54"/>
    <w:rsid w:val="004C52E2"/>
    <w:rsid w:val="004C77D5"/>
    <w:rsid w:val="004D51F4"/>
    <w:rsid w:val="004D6ADA"/>
    <w:rsid w:val="004E2F98"/>
    <w:rsid w:val="004E7E6B"/>
    <w:rsid w:val="004F5073"/>
    <w:rsid w:val="004F5D76"/>
    <w:rsid w:val="005030AB"/>
    <w:rsid w:val="00506E37"/>
    <w:rsid w:val="00514A90"/>
    <w:rsid w:val="005207A1"/>
    <w:rsid w:val="005230B7"/>
    <w:rsid w:val="00524DCC"/>
    <w:rsid w:val="0052660E"/>
    <w:rsid w:val="0052752E"/>
    <w:rsid w:val="00530208"/>
    <w:rsid w:val="0053088E"/>
    <w:rsid w:val="005362D5"/>
    <w:rsid w:val="00543867"/>
    <w:rsid w:val="00543CEB"/>
    <w:rsid w:val="00544A40"/>
    <w:rsid w:val="00544C6B"/>
    <w:rsid w:val="00545B21"/>
    <w:rsid w:val="005518D4"/>
    <w:rsid w:val="0055333C"/>
    <w:rsid w:val="005537F8"/>
    <w:rsid w:val="005547CA"/>
    <w:rsid w:val="005553CD"/>
    <w:rsid w:val="00575354"/>
    <w:rsid w:val="00582493"/>
    <w:rsid w:val="00592E49"/>
    <w:rsid w:val="005944F5"/>
    <w:rsid w:val="005A2D44"/>
    <w:rsid w:val="005A6783"/>
    <w:rsid w:val="005B01F7"/>
    <w:rsid w:val="005B1E84"/>
    <w:rsid w:val="005C240A"/>
    <w:rsid w:val="005D28E8"/>
    <w:rsid w:val="005E1D1F"/>
    <w:rsid w:val="005E4676"/>
    <w:rsid w:val="005E6523"/>
    <w:rsid w:val="005F15D3"/>
    <w:rsid w:val="005F2A2B"/>
    <w:rsid w:val="005F6E6D"/>
    <w:rsid w:val="005F7DCC"/>
    <w:rsid w:val="00600CDE"/>
    <w:rsid w:val="0060210A"/>
    <w:rsid w:val="00602886"/>
    <w:rsid w:val="0061585D"/>
    <w:rsid w:val="00624D69"/>
    <w:rsid w:val="0062614B"/>
    <w:rsid w:val="00630785"/>
    <w:rsid w:val="006326DD"/>
    <w:rsid w:val="00633CA6"/>
    <w:rsid w:val="0063448F"/>
    <w:rsid w:val="00635D7B"/>
    <w:rsid w:val="00636F60"/>
    <w:rsid w:val="006403B5"/>
    <w:rsid w:val="00640E9B"/>
    <w:rsid w:val="006427E3"/>
    <w:rsid w:val="00653CD3"/>
    <w:rsid w:val="00660EE3"/>
    <w:rsid w:val="00664753"/>
    <w:rsid w:val="0067038A"/>
    <w:rsid w:val="00672195"/>
    <w:rsid w:val="006741E7"/>
    <w:rsid w:val="0067755A"/>
    <w:rsid w:val="006806EF"/>
    <w:rsid w:val="00681FE8"/>
    <w:rsid w:val="00691575"/>
    <w:rsid w:val="006B02EC"/>
    <w:rsid w:val="006B2614"/>
    <w:rsid w:val="006B6F2B"/>
    <w:rsid w:val="006D01A9"/>
    <w:rsid w:val="006D6AF4"/>
    <w:rsid w:val="006E37DB"/>
    <w:rsid w:val="006F5AD8"/>
    <w:rsid w:val="00703DBD"/>
    <w:rsid w:val="00711F20"/>
    <w:rsid w:val="0071215A"/>
    <w:rsid w:val="00712E8E"/>
    <w:rsid w:val="00713AA3"/>
    <w:rsid w:val="00720B46"/>
    <w:rsid w:val="0072331B"/>
    <w:rsid w:val="007430AD"/>
    <w:rsid w:val="00746EEC"/>
    <w:rsid w:val="00754625"/>
    <w:rsid w:val="00763221"/>
    <w:rsid w:val="007726CE"/>
    <w:rsid w:val="007742F5"/>
    <w:rsid w:val="007867AA"/>
    <w:rsid w:val="007964C3"/>
    <w:rsid w:val="00796A28"/>
    <w:rsid w:val="0079736D"/>
    <w:rsid w:val="007A4099"/>
    <w:rsid w:val="007A4645"/>
    <w:rsid w:val="007A7BC5"/>
    <w:rsid w:val="007C0D16"/>
    <w:rsid w:val="007C75FF"/>
    <w:rsid w:val="007D29F9"/>
    <w:rsid w:val="007E1F97"/>
    <w:rsid w:val="007E4011"/>
    <w:rsid w:val="007E6473"/>
    <w:rsid w:val="007E66B9"/>
    <w:rsid w:val="007F6875"/>
    <w:rsid w:val="007F7810"/>
    <w:rsid w:val="00801B01"/>
    <w:rsid w:val="00802F93"/>
    <w:rsid w:val="008116DC"/>
    <w:rsid w:val="0081440E"/>
    <w:rsid w:val="00815B4E"/>
    <w:rsid w:val="0085017F"/>
    <w:rsid w:val="00854614"/>
    <w:rsid w:val="008561B9"/>
    <w:rsid w:val="00862CBE"/>
    <w:rsid w:val="00865AE5"/>
    <w:rsid w:val="0086600F"/>
    <w:rsid w:val="00877BC6"/>
    <w:rsid w:val="00881DE0"/>
    <w:rsid w:val="0089134F"/>
    <w:rsid w:val="0089366C"/>
    <w:rsid w:val="00893E60"/>
    <w:rsid w:val="00894C56"/>
    <w:rsid w:val="00896FFF"/>
    <w:rsid w:val="008A221A"/>
    <w:rsid w:val="008A3FAA"/>
    <w:rsid w:val="008A516B"/>
    <w:rsid w:val="008C5B67"/>
    <w:rsid w:val="008D2AF2"/>
    <w:rsid w:val="008D52DA"/>
    <w:rsid w:val="008D5708"/>
    <w:rsid w:val="008E0D51"/>
    <w:rsid w:val="008E6B69"/>
    <w:rsid w:val="008F749B"/>
    <w:rsid w:val="009062D4"/>
    <w:rsid w:val="00912B25"/>
    <w:rsid w:val="00912FF8"/>
    <w:rsid w:val="009138A0"/>
    <w:rsid w:val="0092454A"/>
    <w:rsid w:val="0094777A"/>
    <w:rsid w:val="00947987"/>
    <w:rsid w:val="00951E65"/>
    <w:rsid w:val="00954FBA"/>
    <w:rsid w:val="00965CCD"/>
    <w:rsid w:val="00966ACF"/>
    <w:rsid w:val="00970D32"/>
    <w:rsid w:val="009743F1"/>
    <w:rsid w:val="009751DB"/>
    <w:rsid w:val="00982E65"/>
    <w:rsid w:val="009972D4"/>
    <w:rsid w:val="00997A74"/>
    <w:rsid w:val="009A10EA"/>
    <w:rsid w:val="009A24FF"/>
    <w:rsid w:val="009B2EDA"/>
    <w:rsid w:val="009C084A"/>
    <w:rsid w:val="009C2753"/>
    <w:rsid w:val="009C4DC9"/>
    <w:rsid w:val="009D5425"/>
    <w:rsid w:val="009E2A88"/>
    <w:rsid w:val="009E301C"/>
    <w:rsid w:val="009E3043"/>
    <w:rsid w:val="009E6F46"/>
    <w:rsid w:val="009F19BD"/>
    <w:rsid w:val="009F27BB"/>
    <w:rsid w:val="009F5A63"/>
    <w:rsid w:val="009F6EDC"/>
    <w:rsid w:val="009F761C"/>
    <w:rsid w:val="00A03E10"/>
    <w:rsid w:val="00A14D06"/>
    <w:rsid w:val="00A200C8"/>
    <w:rsid w:val="00A22973"/>
    <w:rsid w:val="00A26211"/>
    <w:rsid w:val="00A30432"/>
    <w:rsid w:val="00A31584"/>
    <w:rsid w:val="00A34076"/>
    <w:rsid w:val="00A37C1E"/>
    <w:rsid w:val="00A41901"/>
    <w:rsid w:val="00A42A9D"/>
    <w:rsid w:val="00A446E7"/>
    <w:rsid w:val="00A5039C"/>
    <w:rsid w:val="00A52143"/>
    <w:rsid w:val="00A55D54"/>
    <w:rsid w:val="00A56EA4"/>
    <w:rsid w:val="00A618B6"/>
    <w:rsid w:val="00A61C40"/>
    <w:rsid w:val="00A61CFA"/>
    <w:rsid w:val="00A7005B"/>
    <w:rsid w:val="00A72E32"/>
    <w:rsid w:val="00A744B7"/>
    <w:rsid w:val="00A752EE"/>
    <w:rsid w:val="00A808A9"/>
    <w:rsid w:val="00A92567"/>
    <w:rsid w:val="00A966D5"/>
    <w:rsid w:val="00AA1899"/>
    <w:rsid w:val="00AA6293"/>
    <w:rsid w:val="00AB7102"/>
    <w:rsid w:val="00AC2165"/>
    <w:rsid w:val="00AC3CB1"/>
    <w:rsid w:val="00AC688D"/>
    <w:rsid w:val="00AD2F64"/>
    <w:rsid w:val="00AD4B14"/>
    <w:rsid w:val="00AD6502"/>
    <w:rsid w:val="00AD66DD"/>
    <w:rsid w:val="00AE1A63"/>
    <w:rsid w:val="00AF09FB"/>
    <w:rsid w:val="00AF34B7"/>
    <w:rsid w:val="00AF35B4"/>
    <w:rsid w:val="00AF3636"/>
    <w:rsid w:val="00AF4642"/>
    <w:rsid w:val="00B03395"/>
    <w:rsid w:val="00B11C82"/>
    <w:rsid w:val="00B2074E"/>
    <w:rsid w:val="00B21D07"/>
    <w:rsid w:val="00B26176"/>
    <w:rsid w:val="00B26E7B"/>
    <w:rsid w:val="00B312C1"/>
    <w:rsid w:val="00B32AAB"/>
    <w:rsid w:val="00B40686"/>
    <w:rsid w:val="00B4116B"/>
    <w:rsid w:val="00B461E3"/>
    <w:rsid w:val="00B46BEC"/>
    <w:rsid w:val="00B50799"/>
    <w:rsid w:val="00B56738"/>
    <w:rsid w:val="00B57B56"/>
    <w:rsid w:val="00B626A0"/>
    <w:rsid w:val="00B75041"/>
    <w:rsid w:val="00B77249"/>
    <w:rsid w:val="00B82F59"/>
    <w:rsid w:val="00BA2ADD"/>
    <w:rsid w:val="00BA7DFD"/>
    <w:rsid w:val="00BB2F95"/>
    <w:rsid w:val="00BB5430"/>
    <w:rsid w:val="00BB5AE0"/>
    <w:rsid w:val="00BC20B2"/>
    <w:rsid w:val="00BC22C3"/>
    <w:rsid w:val="00BC3780"/>
    <w:rsid w:val="00BC395C"/>
    <w:rsid w:val="00BC4625"/>
    <w:rsid w:val="00BD030E"/>
    <w:rsid w:val="00BD1B89"/>
    <w:rsid w:val="00BD32DD"/>
    <w:rsid w:val="00BD41F3"/>
    <w:rsid w:val="00BD6E10"/>
    <w:rsid w:val="00BE527D"/>
    <w:rsid w:val="00BE65B7"/>
    <w:rsid w:val="00BF4D06"/>
    <w:rsid w:val="00C02D55"/>
    <w:rsid w:val="00C03735"/>
    <w:rsid w:val="00C14620"/>
    <w:rsid w:val="00C16F05"/>
    <w:rsid w:val="00C20B94"/>
    <w:rsid w:val="00C21C26"/>
    <w:rsid w:val="00C224B7"/>
    <w:rsid w:val="00C23F91"/>
    <w:rsid w:val="00C30117"/>
    <w:rsid w:val="00C34879"/>
    <w:rsid w:val="00C36CA4"/>
    <w:rsid w:val="00C46F94"/>
    <w:rsid w:val="00C47AA4"/>
    <w:rsid w:val="00C55201"/>
    <w:rsid w:val="00C61A0E"/>
    <w:rsid w:val="00C6488A"/>
    <w:rsid w:val="00C65DAF"/>
    <w:rsid w:val="00C67CC5"/>
    <w:rsid w:val="00C74E97"/>
    <w:rsid w:val="00C76CAD"/>
    <w:rsid w:val="00C829BE"/>
    <w:rsid w:val="00C84326"/>
    <w:rsid w:val="00C84773"/>
    <w:rsid w:val="00C92FD4"/>
    <w:rsid w:val="00C96D0F"/>
    <w:rsid w:val="00CA5558"/>
    <w:rsid w:val="00CA6162"/>
    <w:rsid w:val="00CB2243"/>
    <w:rsid w:val="00CB429B"/>
    <w:rsid w:val="00CB7A11"/>
    <w:rsid w:val="00CC23BD"/>
    <w:rsid w:val="00CD4DE1"/>
    <w:rsid w:val="00CD4F19"/>
    <w:rsid w:val="00CD7A83"/>
    <w:rsid w:val="00CE01AC"/>
    <w:rsid w:val="00CE58F0"/>
    <w:rsid w:val="00CE6213"/>
    <w:rsid w:val="00CF0000"/>
    <w:rsid w:val="00CF2056"/>
    <w:rsid w:val="00CF27AF"/>
    <w:rsid w:val="00D0001C"/>
    <w:rsid w:val="00D1194A"/>
    <w:rsid w:val="00D25714"/>
    <w:rsid w:val="00D27E4A"/>
    <w:rsid w:val="00D3104A"/>
    <w:rsid w:val="00D348A4"/>
    <w:rsid w:val="00D3588B"/>
    <w:rsid w:val="00D426B5"/>
    <w:rsid w:val="00D43ED3"/>
    <w:rsid w:val="00D44907"/>
    <w:rsid w:val="00D55E65"/>
    <w:rsid w:val="00D57737"/>
    <w:rsid w:val="00D6206B"/>
    <w:rsid w:val="00D938B3"/>
    <w:rsid w:val="00D951D0"/>
    <w:rsid w:val="00DA1093"/>
    <w:rsid w:val="00DA27D3"/>
    <w:rsid w:val="00DA2B60"/>
    <w:rsid w:val="00DB28AE"/>
    <w:rsid w:val="00DD33DB"/>
    <w:rsid w:val="00DD5D81"/>
    <w:rsid w:val="00DF1DC0"/>
    <w:rsid w:val="00DF3062"/>
    <w:rsid w:val="00DF352F"/>
    <w:rsid w:val="00E00904"/>
    <w:rsid w:val="00E0102F"/>
    <w:rsid w:val="00E03CE2"/>
    <w:rsid w:val="00E05CBF"/>
    <w:rsid w:val="00E10264"/>
    <w:rsid w:val="00E1230E"/>
    <w:rsid w:val="00E13517"/>
    <w:rsid w:val="00E2228C"/>
    <w:rsid w:val="00E24CA6"/>
    <w:rsid w:val="00E3324C"/>
    <w:rsid w:val="00E334A9"/>
    <w:rsid w:val="00E36A94"/>
    <w:rsid w:val="00E378CD"/>
    <w:rsid w:val="00E4116C"/>
    <w:rsid w:val="00E42511"/>
    <w:rsid w:val="00E42BBB"/>
    <w:rsid w:val="00E4353E"/>
    <w:rsid w:val="00E43B32"/>
    <w:rsid w:val="00E47A66"/>
    <w:rsid w:val="00E61E12"/>
    <w:rsid w:val="00E81117"/>
    <w:rsid w:val="00E96413"/>
    <w:rsid w:val="00E97A6D"/>
    <w:rsid w:val="00EA0B2A"/>
    <w:rsid w:val="00EA2927"/>
    <w:rsid w:val="00EA3A51"/>
    <w:rsid w:val="00EB14D5"/>
    <w:rsid w:val="00EB247C"/>
    <w:rsid w:val="00EB3D9C"/>
    <w:rsid w:val="00EC412A"/>
    <w:rsid w:val="00ED0288"/>
    <w:rsid w:val="00ED3A4B"/>
    <w:rsid w:val="00EE2F0D"/>
    <w:rsid w:val="00EE3A78"/>
    <w:rsid w:val="00EF6A40"/>
    <w:rsid w:val="00EF7B50"/>
    <w:rsid w:val="00F02B3F"/>
    <w:rsid w:val="00F0447D"/>
    <w:rsid w:val="00F10A7C"/>
    <w:rsid w:val="00F16578"/>
    <w:rsid w:val="00F20DA8"/>
    <w:rsid w:val="00F2412D"/>
    <w:rsid w:val="00F24693"/>
    <w:rsid w:val="00F321BC"/>
    <w:rsid w:val="00F324D1"/>
    <w:rsid w:val="00F34501"/>
    <w:rsid w:val="00F363B9"/>
    <w:rsid w:val="00F36845"/>
    <w:rsid w:val="00F478D9"/>
    <w:rsid w:val="00F54664"/>
    <w:rsid w:val="00F63D7F"/>
    <w:rsid w:val="00F777EC"/>
    <w:rsid w:val="00F83672"/>
    <w:rsid w:val="00F92933"/>
    <w:rsid w:val="00F9730F"/>
    <w:rsid w:val="00FA1FAA"/>
    <w:rsid w:val="00FB102C"/>
    <w:rsid w:val="00FC4087"/>
    <w:rsid w:val="00FD28A5"/>
    <w:rsid w:val="00FD2A46"/>
    <w:rsid w:val="00FD3E3A"/>
    <w:rsid w:val="00FE6FC4"/>
    <w:rsid w:val="00FF5EFA"/>
    <w:rsid w:val="00FF6E7F"/>
    <w:rsid w:val="013537C3"/>
    <w:rsid w:val="019C6E6A"/>
    <w:rsid w:val="03533694"/>
    <w:rsid w:val="058B51B1"/>
    <w:rsid w:val="06CC77B9"/>
    <w:rsid w:val="08173C49"/>
    <w:rsid w:val="0CFE1459"/>
    <w:rsid w:val="0E102C79"/>
    <w:rsid w:val="107D5388"/>
    <w:rsid w:val="119A7465"/>
    <w:rsid w:val="11A3360B"/>
    <w:rsid w:val="12100709"/>
    <w:rsid w:val="163867C4"/>
    <w:rsid w:val="16552BF9"/>
    <w:rsid w:val="172C3A30"/>
    <w:rsid w:val="1ABE6C88"/>
    <w:rsid w:val="1CC01D49"/>
    <w:rsid w:val="1D37412E"/>
    <w:rsid w:val="1EC24CE1"/>
    <w:rsid w:val="1F456390"/>
    <w:rsid w:val="206851D7"/>
    <w:rsid w:val="23236F7E"/>
    <w:rsid w:val="25AE28D0"/>
    <w:rsid w:val="289F33F2"/>
    <w:rsid w:val="2AB16AC7"/>
    <w:rsid w:val="2DCF6290"/>
    <w:rsid w:val="2E1F130B"/>
    <w:rsid w:val="31064871"/>
    <w:rsid w:val="33F971D5"/>
    <w:rsid w:val="37A15F22"/>
    <w:rsid w:val="37B05A02"/>
    <w:rsid w:val="39561987"/>
    <w:rsid w:val="3B5F6AD9"/>
    <w:rsid w:val="3CF7493F"/>
    <w:rsid w:val="3D0C0945"/>
    <w:rsid w:val="3DAF0995"/>
    <w:rsid w:val="3DC83778"/>
    <w:rsid w:val="3F0B72E6"/>
    <w:rsid w:val="3F5F5DB0"/>
    <w:rsid w:val="3FB42C98"/>
    <w:rsid w:val="4181297D"/>
    <w:rsid w:val="41C86AEC"/>
    <w:rsid w:val="4239316A"/>
    <w:rsid w:val="445E2D5D"/>
    <w:rsid w:val="45885461"/>
    <w:rsid w:val="481D7ECC"/>
    <w:rsid w:val="49291342"/>
    <w:rsid w:val="4ACB3105"/>
    <w:rsid w:val="4B2642DB"/>
    <w:rsid w:val="4D7A37A4"/>
    <w:rsid w:val="4F490A1A"/>
    <w:rsid w:val="4FDD6B07"/>
    <w:rsid w:val="50907A7B"/>
    <w:rsid w:val="52822CDC"/>
    <w:rsid w:val="52CE7083"/>
    <w:rsid w:val="52DD7A2A"/>
    <w:rsid w:val="547C0614"/>
    <w:rsid w:val="551F6792"/>
    <w:rsid w:val="57A615AA"/>
    <w:rsid w:val="586A0E4E"/>
    <w:rsid w:val="58817E74"/>
    <w:rsid w:val="58D90744"/>
    <w:rsid w:val="5A120FFB"/>
    <w:rsid w:val="5ABF2E5D"/>
    <w:rsid w:val="5C5679F9"/>
    <w:rsid w:val="5E555D16"/>
    <w:rsid w:val="60901A53"/>
    <w:rsid w:val="60AC22A0"/>
    <w:rsid w:val="62186344"/>
    <w:rsid w:val="63013F38"/>
    <w:rsid w:val="63147B49"/>
    <w:rsid w:val="663D3758"/>
    <w:rsid w:val="67047E7E"/>
    <w:rsid w:val="671737AB"/>
    <w:rsid w:val="67A710B3"/>
    <w:rsid w:val="6830138E"/>
    <w:rsid w:val="6B280F3E"/>
    <w:rsid w:val="6B2E316C"/>
    <w:rsid w:val="6E1B65E2"/>
    <w:rsid w:val="6EE40035"/>
    <w:rsid w:val="6FA56875"/>
    <w:rsid w:val="70634E9C"/>
    <w:rsid w:val="72A32036"/>
    <w:rsid w:val="73B40DD1"/>
    <w:rsid w:val="75E67661"/>
    <w:rsid w:val="765D791A"/>
    <w:rsid w:val="766E0939"/>
    <w:rsid w:val="77C117F1"/>
    <w:rsid w:val="796C2148"/>
    <w:rsid w:val="7AEB0536"/>
    <w:rsid w:val="7CD06EBC"/>
    <w:rsid w:val="7D1F4970"/>
    <w:rsid w:val="7DA2625D"/>
    <w:rsid w:val="7F5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723E26-BAB8-4689-8997-C89C7D49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ind w:firstLineChars="0" w:firstLine="0"/>
      <w:jc w:val="left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autoRedefine/>
    <w:qFormat/>
    <w:pPr>
      <w:keepNext/>
      <w:keepLines/>
      <w:spacing w:before="40" w:after="40"/>
      <w:jc w:val="left"/>
      <w:outlineLvl w:val="1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spacing w:line="560" w:lineRule="exact"/>
      <w:ind w:firstLine="567"/>
    </w:pPr>
    <w:rPr>
      <w:rFonts w:ascii="宋体" w:hAnsi="宋体"/>
      <w:sz w:val="28"/>
      <w:szCs w:val="28"/>
    </w:rPr>
  </w:style>
  <w:style w:type="paragraph" w:styleId="a4">
    <w:name w:val="Document Map"/>
    <w:basedOn w:val="a"/>
    <w:link w:val="Char0"/>
    <w:autoRedefine/>
    <w:qFormat/>
    <w:rPr>
      <w:rFonts w:ascii="宋体"/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link w:val="Char1"/>
    <w:autoRedefine/>
    <w:qFormat/>
    <w:pPr>
      <w:spacing w:line="240" w:lineRule="auto"/>
      <w:ind w:firstLineChars="0" w:firstLine="0"/>
    </w:pPr>
    <w:rPr>
      <w:b/>
      <w:bCs/>
      <w:sz w:val="32"/>
    </w:rPr>
  </w:style>
  <w:style w:type="paragraph" w:styleId="a7">
    <w:name w:val="Body Text Indent"/>
    <w:basedOn w:val="a"/>
    <w:link w:val="Char2"/>
    <w:autoRedefine/>
    <w:qFormat/>
    <w:pPr>
      <w:spacing w:after="120"/>
      <w:ind w:leftChars="200" w:left="420"/>
    </w:pPr>
  </w:style>
  <w:style w:type="paragraph" w:styleId="a8">
    <w:name w:val="Plain Text"/>
    <w:basedOn w:val="a"/>
    <w:autoRedefine/>
    <w:qFormat/>
    <w:rPr>
      <w:rFonts w:ascii="宋体" w:hAnsi="Courier New"/>
      <w:szCs w:val="20"/>
    </w:rPr>
  </w:style>
  <w:style w:type="paragraph" w:styleId="a9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7"/>
    <w:link w:val="2Char"/>
    <w:autoRedefine/>
    <w:qFormat/>
    <w:pPr>
      <w:ind w:firstLine="420"/>
    </w:pPr>
  </w:style>
  <w:style w:type="table" w:styleId="ab">
    <w:name w:val="Table Grid"/>
    <w:basedOn w:val="a1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paragraph" w:customStyle="1" w:styleId="CharCharCharCharCharCharChar">
    <w:name w:val="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3">
    <w:name w:val="页眉 Char"/>
    <w:link w:val="aa"/>
    <w:autoRedefine/>
    <w:qFormat/>
    <w:rPr>
      <w:kern w:val="2"/>
      <w:sz w:val="18"/>
      <w:szCs w:val="18"/>
    </w:rPr>
  </w:style>
  <w:style w:type="paragraph" w:customStyle="1" w:styleId="CharCharCharCharCharCharChar1">
    <w:name w:val="Char Char Char Char Char Char Char1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4">
    <w:name w:val="Char"/>
    <w:basedOn w:val="a"/>
    <w:autoRedefine/>
    <w:qFormat/>
  </w:style>
  <w:style w:type="paragraph" w:styleId="ae">
    <w:name w:val="List Paragraph"/>
    <w:basedOn w:val="a"/>
    <w:autoRedefine/>
    <w:qFormat/>
    <w:pPr>
      <w:ind w:firstLine="420"/>
    </w:pPr>
    <w:rPr>
      <w:rFonts w:ascii="Calibri" w:hAnsi="Calibri"/>
      <w:szCs w:val="22"/>
    </w:rPr>
  </w:style>
  <w:style w:type="paragraph" w:customStyle="1" w:styleId="af">
    <w:name w:val="宋体"/>
    <w:basedOn w:val="a"/>
    <w:next w:val="2"/>
    <w:autoRedefine/>
    <w:semiHidden/>
    <w:qFormat/>
    <w:pPr>
      <w:tabs>
        <w:tab w:val="left" w:pos="540"/>
      </w:tabs>
      <w:spacing w:beforeLines="50" w:afterLines="50" w:line="560" w:lineRule="exact"/>
      <w:jc w:val="left"/>
    </w:pPr>
    <w:rPr>
      <w:sz w:val="28"/>
      <w:szCs w:val="28"/>
    </w:rPr>
  </w:style>
  <w:style w:type="character" w:customStyle="1" w:styleId="Char">
    <w:name w:val="正文缩进 Char"/>
    <w:link w:val="a3"/>
    <w:autoRedefine/>
    <w:qFormat/>
    <w:rPr>
      <w:rFonts w:ascii="宋体" w:eastAsia="宋体" w:hAnsi="宋体"/>
      <w:kern w:val="2"/>
      <w:sz w:val="28"/>
      <w:szCs w:val="28"/>
      <w:lang w:val="en-US" w:eastAsia="zh-CN" w:bidi="ar-SA"/>
    </w:rPr>
  </w:style>
  <w:style w:type="paragraph" w:styleId="af0">
    <w:name w:val="No Spacing"/>
    <w:link w:val="Char5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5">
    <w:name w:val="无间隔 Char"/>
    <w:link w:val="af0"/>
    <w:autoRedefine/>
    <w:qFormat/>
    <w:rPr>
      <w:kern w:val="2"/>
      <w:sz w:val="21"/>
      <w:szCs w:val="24"/>
      <w:lang w:bidi="ar-SA"/>
    </w:rPr>
  </w:style>
  <w:style w:type="character" w:customStyle="1" w:styleId="Char1">
    <w:name w:val="正文文本 Char"/>
    <w:basedOn w:val="a0"/>
    <w:link w:val="a6"/>
    <w:autoRedefine/>
    <w:qFormat/>
    <w:rPr>
      <w:b/>
      <w:bCs/>
      <w:kern w:val="2"/>
      <w:sz w:val="32"/>
      <w:szCs w:val="24"/>
    </w:rPr>
  </w:style>
  <w:style w:type="paragraph" w:customStyle="1" w:styleId="af1">
    <w:name w:val="环境预案正文"/>
    <w:basedOn w:val="a"/>
    <w:link w:val="Char6"/>
    <w:autoRedefine/>
    <w:qFormat/>
    <w:pPr>
      <w:tabs>
        <w:tab w:val="left" w:pos="4540"/>
      </w:tabs>
      <w:spacing w:line="240" w:lineRule="auto"/>
    </w:pPr>
    <w:rPr>
      <w:rFonts w:eastAsia="仿宋_GB2312"/>
      <w:sz w:val="28"/>
      <w:szCs w:val="20"/>
    </w:rPr>
  </w:style>
  <w:style w:type="character" w:customStyle="1" w:styleId="Char6">
    <w:name w:val="环境预案正文 Char"/>
    <w:link w:val="af1"/>
    <w:autoRedefine/>
    <w:qFormat/>
    <w:rPr>
      <w:rFonts w:eastAsia="仿宋_GB2312"/>
      <w:kern w:val="2"/>
      <w:sz w:val="28"/>
    </w:rPr>
  </w:style>
  <w:style w:type="paragraph" w:customStyle="1" w:styleId="af2">
    <w:name w:val="环评表头"/>
    <w:basedOn w:val="a"/>
    <w:autoRedefine/>
    <w:qFormat/>
    <w:pPr>
      <w:tabs>
        <w:tab w:val="left" w:pos="1935"/>
      </w:tabs>
      <w:spacing w:line="520" w:lineRule="exact"/>
      <w:ind w:firstLineChars="0" w:firstLine="0"/>
      <w:jc w:val="center"/>
    </w:pPr>
    <w:rPr>
      <w:rFonts w:eastAsia="黑体"/>
      <w:b/>
      <w:kern w:val="0"/>
      <w:szCs w:val="22"/>
    </w:rPr>
  </w:style>
  <w:style w:type="character" w:customStyle="1" w:styleId="Char0">
    <w:name w:val="文档结构图 Char"/>
    <w:basedOn w:val="a0"/>
    <w:link w:val="a4"/>
    <w:autoRedefine/>
    <w:qFormat/>
    <w:rPr>
      <w:rFonts w:ascii="宋体"/>
      <w:kern w:val="2"/>
      <w:sz w:val="18"/>
      <w:szCs w:val="18"/>
    </w:rPr>
  </w:style>
  <w:style w:type="paragraph" w:customStyle="1" w:styleId="CharChar3CharChar">
    <w:name w:val="Char Char3 Char Char"/>
    <w:basedOn w:val="a"/>
    <w:autoRedefine/>
    <w:qFormat/>
    <w:pPr>
      <w:snapToGrid w:val="0"/>
    </w:pPr>
    <w:rPr>
      <w:rFonts w:ascii="Calibri" w:hAnsi="Calibri"/>
      <w:sz w:val="21"/>
    </w:rPr>
  </w:style>
  <w:style w:type="character" w:customStyle="1" w:styleId="Char2">
    <w:name w:val="正文文本缩进 Char"/>
    <w:basedOn w:val="a0"/>
    <w:link w:val="a7"/>
    <w:autoRedefine/>
    <w:qFormat/>
    <w:rPr>
      <w:kern w:val="2"/>
      <w:sz w:val="21"/>
      <w:szCs w:val="24"/>
    </w:rPr>
  </w:style>
  <w:style w:type="character" w:customStyle="1" w:styleId="2Char">
    <w:name w:val="正文首行缩进 2 Char"/>
    <w:basedOn w:val="Char2"/>
    <w:link w:val="20"/>
    <w:autoRedefine/>
    <w:qFormat/>
    <w:rPr>
      <w:kern w:val="2"/>
      <w:sz w:val="21"/>
      <w:szCs w:val="24"/>
    </w:rPr>
  </w:style>
  <w:style w:type="paragraph" w:customStyle="1" w:styleId="af3">
    <w:name w:val="表格内容居中"/>
    <w:autoRedefine/>
    <w:qFormat/>
    <w:pPr>
      <w:adjustRightInd w:val="0"/>
      <w:snapToGrid w:val="0"/>
      <w:jc w:val="center"/>
    </w:pPr>
    <w:rPr>
      <w:snapToGrid w:val="0"/>
      <w:sz w:val="21"/>
      <w:szCs w:val="21"/>
    </w:rPr>
  </w:style>
  <w:style w:type="paragraph" w:customStyle="1" w:styleId="12">
    <w:name w:val="无间隔12"/>
    <w:autoRedefine/>
    <w:uiPriority w:val="1"/>
    <w:qFormat/>
    <w:pPr>
      <w:widowControl w:val="0"/>
      <w:jc w:val="center"/>
    </w:pPr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eastAsia="Times New Roman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244</Words>
  <Characters>1393</Characters>
  <Application>Microsoft Office Word</Application>
  <DocSecurity>0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清洁生产审核汇报材料</dc:title>
  <dc:creator>微软用户</dc:creator>
  <cp:lastModifiedBy>李雨波</cp:lastModifiedBy>
  <cp:revision>30</cp:revision>
  <cp:lastPrinted>2025-01-13T03:39:00Z</cp:lastPrinted>
  <dcterms:created xsi:type="dcterms:W3CDTF">2020-05-06T02:06:00Z</dcterms:created>
  <dcterms:modified xsi:type="dcterms:W3CDTF">2026-03-03T02:45:00Z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86CA3066B6154D18B77F74CEFFB5CE5C_13</vt:lpwstr>
  </property>
  <property fmtid="{D5CDD505-2E9C-101B-9397-08002B2CF9AE}" pid="4" name="KSOTemplateDocerSaveRecord">
    <vt:lpwstr>eyJoZGlkIjoiNGU3ZWE3OGNjYWE3NzcyMDUzNDhjMTRiNTg0YjYyZDgiLCJ1c2VySWQiOiI3MjI3MzgzMDAifQ==</vt:lpwstr>
  </property>
</Properties>
</file>